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DF" w:rsidRPr="00DC44BE" w:rsidRDefault="00401D95" w:rsidP="00401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01D95" w:rsidRPr="00DC44BE" w:rsidRDefault="00401D95" w:rsidP="00401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401D95" w:rsidRPr="00DC44BE" w:rsidRDefault="00401D95" w:rsidP="00401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КАДЫЙСКИЙ МУНИЦИПАЛЬНЫЙ РАЙОН</w:t>
      </w:r>
    </w:p>
    <w:p w:rsidR="00401D95" w:rsidRPr="00DC44BE" w:rsidRDefault="00401D95" w:rsidP="00401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ЗАВРАЖНОЕ СЕЛЬСКОЕ ПОСЕЛЕНИЕ</w:t>
      </w:r>
    </w:p>
    <w:p w:rsidR="00401D95" w:rsidRPr="00DC44BE" w:rsidRDefault="00401D95" w:rsidP="00401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РЕШЕНИЕ</w:t>
      </w:r>
    </w:p>
    <w:p w:rsidR="00401D95" w:rsidRPr="00DC44BE" w:rsidRDefault="00401D95">
      <w:pPr>
        <w:rPr>
          <w:rFonts w:ascii="Times New Roman" w:hAnsi="Times New Roman" w:cs="Times New Roman"/>
          <w:sz w:val="24"/>
          <w:szCs w:val="24"/>
        </w:rPr>
      </w:pPr>
    </w:p>
    <w:p w:rsidR="00401D95" w:rsidRPr="00DC44BE" w:rsidRDefault="0023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</w:t>
      </w:r>
      <w:r w:rsidR="00401D95" w:rsidRPr="00DC44BE">
        <w:rPr>
          <w:rFonts w:ascii="Times New Roman" w:hAnsi="Times New Roman" w:cs="Times New Roman"/>
          <w:sz w:val="24"/>
          <w:szCs w:val="24"/>
        </w:rPr>
        <w:t xml:space="preserve">» июня 2023 года                                                                      </w:t>
      </w:r>
      <w:r w:rsidR="00DC44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1D95" w:rsidRPr="00DC44BE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401D95" w:rsidRPr="00DC44BE" w:rsidRDefault="00401D95">
      <w:pPr>
        <w:rPr>
          <w:rFonts w:ascii="Times New Roman" w:hAnsi="Times New Roman" w:cs="Times New Roman"/>
          <w:sz w:val="24"/>
          <w:szCs w:val="24"/>
        </w:rPr>
      </w:pPr>
    </w:p>
    <w:p w:rsidR="00401D95" w:rsidRPr="00DC44BE" w:rsidRDefault="00401D95">
      <w:p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Об утверждении положения о представительских расходах</w:t>
      </w:r>
    </w:p>
    <w:p w:rsidR="00401D95" w:rsidRDefault="00401D95">
      <w:p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C44BE" w:rsidRDefault="00DC44BE">
      <w:pPr>
        <w:rPr>
          <w:rFonts w:ascii="Times New Roman" w:hAnsi="Times New Roman" w:cs="Times New Roman"/>
          <w:sz w:val="24"/>
          <w:szCs w:val="24"/>
        </w:rPr>
      </w:pPr>
    </w:p>
    <w:p w:rsidR="00DC44BE" w:rsidRPr="00DC44BE" w:rsidRDefault="00DC44BE">
      <w:pPr>
        <w:rPr>
          <w:rFonts w:ascii="Times New Roman" w:hAnsi="Times New Roman" w:cs="Times New Roman"/>
          <w:sz w:val="24"/>
          <w:szCs w:val="24"/>
        </w:rPr>
      </w:pPr>
    </w:p>
    <w:p w:rsidR="00401D95" w:rsidRPr="00DC44BE" w:rsidRDefault="00401D95">
      <w:p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В соответствии со статьями 15, 86 Бюджетного кодекса Российской Федерации, </w:t>
      </w:r>
      <w:r w:rsidR="004E3D3A" w:rsidRPr="00DC44BE">
        <w:rPr>
          <w:rFonts w:ascii="Times New Roman" w:hAnsi="Times New Roman" w:cs="Times New Roman"/>
          <w:sz w:val="24"/>
          <w:szCs w:val="24"/>
        </w:rPr>
        <w:t xml:space="preserve">пунктом 8 части 10 статьи 35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4E3D3A" w:rsidRPr="00DC44BE">
        <w:rPr>
          <w:rFonts w:ascii="Times New Roman" w:hAnsi="Times New Roman" w:cs="Times New Roman"/>
          <w:sz w:val="24"/>
          <w:szCs w:val="24"/>
        </w:rPr>
        <w:t>Завражное</w:t>
      </w:r>
      <w:proofErr w:type="spellEnd"/>
      <w:r w:rsidR="004E3D3A" w:rsidRPr="00DC44B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E3D3A" w:rsidRPr="00DC44BE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="004E3D3A" w:rsidRPr="00DC44BE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</w:p>
    <w:p w:rsidR="004E3D3A" w:rsidRPr="00DC44BE" w:rsidRDefault="004E3D3A">
      <w:p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Решил:</w:t>
      </w:r>
    </w:p>
    <w:p w:rsidR="004E3D3A" w:rsidRPr="00DC44BE" w:rsidRDefault="004E3D3A" w:rsidP="004E3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представительских расходах органов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E3D3A" w:rsidRPr="00DC44BE" w:rsidRDefault="004E3D3A" w:rsidP="004E3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E3D3A" w:rsidRPr="00DC44BE" w:rsidRDefault="004E3D3A" w:rsidP="004E3D3A">
      <w:pPr>
        <w:rPr>
          <w:rFonts w:ascii="Times New Roman" w:hAnsi="Times New Roman" w:cs="Times New Roman"/>
          <w:sz w:val="24"/>
          <w:szCs w:val="24"/>
        </w:rPr>
      </w:pPr>
    </w:p>
    <w:p w:rsidR="004E3D3A" w:rsidRPr="00DC44BE" w:rsidRDefault="004E3D3A" w:rsidP="004E3D3A">
      <w:p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E3D3A" w:rsidRPr="00DC44BE" w:rsidRDefault="004E3D3A" w:rsidP="004E3D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E3D3A" w:rsidRPr="00DC44BE" w:rsidRDefault="004E3D3A" w:rsidP="004E3D3A">
      <w:p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Костромской </w:t>
      </w:r>
      <w:proofErr w:type="gramStart"/>
      <w:r w:rsidRPr="00DC44BE">
        <w:rPr>
          <w:rFonts w:ascii="Times New Roman" w:hAnsi="Times New Roman" w:cs="Times New Roman"/>
          <w:sz w:val="24"/>
          <w:szCs w:val="24"/>
        </w:rPr>
        <w:t xml:space="preserve">области:   </w:t>
      </w:r>
      <w:proofErr w:type="gramEnd"/>
      <w:r w:rsidRPr="00DC44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44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44B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И.А.Панина</w:t>
      </w:r>
      <w:proofErr w:type="spellEnd"/>
    </w:p>
    <w:p w:rsidR="00024785" w:rsidRPr="00DC44BE" w:rsidRDefault="00024785" w:rsidP="004E3D3A">
      <w:pPr>
        <w:rPr>
          <w:rFonts w:ascii="Times New Roman" w:hAnsi="Times New Roman" w:cs="Times New Roman"/>
          <w:sz w:val="24"/>
          <w:szCs w:val="24"/>
        </w:rPr>
      </w:pPr>
    </w:p>
    <w:p w:rsidR="00024785" w:rsidRPr="00DC44BE" w:rsidRDefault="00024785" w:rsidP="004E3D3A">
      <w:pPr>
        <w:rPr>
          <w:rFonts w:ascii="Times New Roman" w:hAnsi="Times New Roman" w:cs="Times New Roman"/>
          <w:sz w:val="24"/>
          <w:szCs w:val="24"/>
        </w:rPr>
      </w:pPr>
    </w:p>
    <w:p w:rsidR="00024785" w:rsidRPr="00DC44BE" w:rsidRDefault="00024785" w:rsidP="004E3D3A">
      <w:pPr>
        <w:rPr>
          <w:rFonts w:ascii="Times New Roman" w:hAnsi="Times New Roman" w:cs="Times New Roman"/>
          <w:sz w:val="24"/>
          <w:szCs w:val="24"/>
        </w:rPr>
      </w:pPr>
    </w:p>
    <w:p w:rsidR="00024785" w:rsidRPr="00DC44BE" w:rsidRDefault="00024785" w:rsidP="004E3D3A">
      <w:pPr>
        <w:rPr>
          <w:rFonts w:ascii="Times New Roman" w:hAnsi="Times New Roman" w:cs="Times New Roman"/>
          <w:sz w:val="24"/>
          <w:szCs w:val="24"/>
        </w:rPr>
      </w:pPr>
    </w:p>
    <w:p w:rsidR="00024785" w:rsidRPr="00DC44BE" w:rsidRDefault="00024785" w:rsidP="004E3D3A">
      <w:pPr>
        <w:rPr>
          <w:rFonts w:ascii="Times New Roman" w:hAnsi="Times New Roman" w:cs="Times New Roman"/>
          <w:sz w:val="24"/>
          <w:szCs w:val="24"/>
        </w:rPr>
      </w:pPr>
    </w:p>
    <w:p w:rsidR="00024785" w:rsidRPr="00DC44BE" w:rsidRDefault="00024785" w:rsidP="004E3D3A">
      <w:pPr>
        <w:rPr>
          <w:rFonts w:ascii="Times New Roman" w:hAnsi="Times New Roman" w:cs="Times New Roman"/>
          <w:sz w:val="24"/>
          <w:szCs w:val="24"/>
        </w:rPr>
      </w:pPr>
    </w:p>
    <w:p w:rsidR="00024785" w:rsidRPr="00DC44BE" w:rsidRDefault="00024785" w:rsidP="004E3D3A">
      <w:pPr>
        <w:rPr>
          <w:rFonts w:ascii="Times New Roman" w:hAnsi="Times New Roman" w:cs="Times New Roman"/>
          <w:sz w:val="24"/>
          <w:szCs w:val="24"/>
        </w:rPr>
      </w:pPr>
    </w:p>
    <w:p w:rsidR="00024785" w:rsidRPr="00DC44BE" w:rsidRDefault="00024785" w:rsidP="004E3D3A">
      <w:pPr>
        <w:rPr>
          <w:rFonts w:ascii="Times New Roman" w:hAnsi="Times New Roman" w:cs="Times New Roman"/>
          <w:sz w:val="24"/>
          <w:szCs w:val="24"/>
        </w:rPr>
      </w:pPr>
    </w:p>
    <w:p w:rsidR="00024785" w:rsidRPr="00DC44BE" w:rsidRDefault="00024785" w:rsidP="004E3D3A">
      <w:pPr>
        <w:rPr>
          <w:rFonts w:ascii="Times New Roman" w:hAnsi="Times New Roman" w:cs="Times New Roman"/>
          <w:sz w:val="24"/>
          <w:szCs w:val="24"/>
        </w:rPr>
      </w:pPr>
    </w:p>
    <w:p w:rsidR="00024785" w:rsidRPr="00DC44BE" w:rsidRDefault="00024785" w:rsidP="004E3D3A">
      <w:pPr>
        <w:rPr>
          <w:rFonts w:ascii="Times New Roman" w:hAnsi="Times New Roman" w:cs="Times New Roman"/>
          <w:sz w:val="24"/>
          <w:szCs w:val="24"/>
        </w:rPr>
      </w:pPr>
    </w:p>
    <w:p w:rsidR="00024785" w:rsidRPr="00DC44BE" w:rsidRDefault="00024785" w:rsidP="004E3D3A">
      <w:pPr>
        <w:rPr>
          <w:rFonts w:ascii="Times New Roman" w:hAnsi="Times New Roman" w:cs="Times New Roman"/>
          <w:sz w:val="24"/>
          <w:szCs w:val="24"/>
        </w:rPr>
      </w:pPr>
    </w:p>
    <w:p w:rsidR="00024785" w:rsidRPr="00DC44BE" w:rsidRDefault="00024785" w:rsidP="004E3D3A">
      <w:pPr>
        <w:rPr>
          <w:rFonts w:ascii="Times New Roman" w:hAnsi="Times New Roman" w:cs="Times New Roman"/>
          <w:sz w:val="24"/>
          <w:szCs w:val="24"/>
        </w:rPr>
      </w:pPr>
    </w:p>
    <w:p w:rsidR="00024785" w:rsidRPr="00DC44BE" w:rsidRDefault="00024785" w:rsidP="00DC4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BE">
        <w:rPr>
          <w:rFonts w:ascii="Times New Roman" w:hAnsi="Times New Roman" w:cs="Times New Roman"/>
          <w:b/>
          <w:sz w:val="24"/>
          <w:szCs w:val="24"/>
        </w:rPr>
        <w:t xml:space="preserve">Положение о представительских расходах органов местного самоуправления </w:t>
      </w:r>
      <w:proofErr w:type="spellStart"/>
      <w:r w:rsidRPr="00DC44BE">
        <w:rPr>
          <w:rFonts w:ascii="Times New Roman" w:hAnsi="Times New Roman" w:cs="Times New Roman"/>
          <w:b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24785" w:rsidRPr="00DC44BE" w:rsidRDefault="00024785" w:rsidP="0002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упорядочения использования средств на представительские расходы органов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и определяет порядок расходования средств на представительские расходы, а также представления отчётности по ним.</w:t>
      </w:r>
    </w:p>
    <w:p w:rsidR="00024785" w:rsidRPr="00DC44BE" w:rsidRDefault="00024785" w:rsidP="0002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Представительские расходы – расходы органов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связанные с приёмом официальных лиц и (или) обслуживанием представителей (делегаций и отдельных лиц) организаций, учреждений, предприятий (включая иностранных), участвующих в переговорах</w:t>
      </w:r>
      <w:r w:rsidR="002F5E0D" w:rsidRPr="00DC44BE">
        <w:rPr>
          <w:rFonts w:ascii="Times New Roman" w:hAnsi="Times New Roman" w:cs="Times New Roman"/>
          <w:sz w:val="24"/>
          <w:szCs w:val="24"/>
        </w:rPr>
        <w:t xml:space="preserve"> в целях установления и (или) поддержания взаимного сотрудничества; буфетным обслуживанием заседаний, депутатских слушаний, конференций, семинаров, «круглых столов», совещаний, проводимых органами местного самоуправления </w:t>
      </w:r>
      <w:proofErr w:type="spellStart"/>
      <w:r w:rsidR="002F5E0D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2F5E0D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поселения, заседаний комитетов, приёмных руководителей органов местного самоуправления </w:t>
      </w:r>
      <w:proofErr w:type="spellStart"/>
      <w:r w:rsidR="002F5E0D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2F5E0D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развитие взаимодействия органов местного самоуправления </w:t>
      </w:r>
      <w:proofErr w:type="spellStart"/>
      <w:r w:rsidR="002F5E0D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2F5E0D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и их руководителей с представителями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других организаций, учреждений, предприятий (включая иностранных), проводимых в интересах </w:t>
      </w:r>
      <w:proofErr w:type="spellStart"/>
      <w:r w:rsidR="002F5E0D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2F5E0D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поселения; участием руководителей органов местного самоуправления </w:t>
      </w:r>
      <w:proofErr w:type="spellStart"/>
      <w:r w:rsidR="002F5E0D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2F5E0D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в мероприятиях, проводимых в </w:t>
      </w:r>
      <w:proofErr w:type="spellStart"/>
      <w:r w:rsidR="002F5E0D" w:rsidRPr="00DC44BE">
        <w:rPr>
          <w:rFonts w:ascii="Times New Roman" w:hAnsi="Times New Roman" w:cs="Times New Roman"/>
          <w:sz w:val="24"/>
          <w:szCs w:val="24"/>
        </w:rPr>
        <w:t>Завражном</w:t>
      </w:r>
      <w:proofErr w:type="spellEnd"/>
      <w:r w:rsidR="002F5E0D" w:rsidRPr="00DC44BE">
        <w:rPr>
          <w:rFonts w:ascii="Times New Roman" w:hAnsi="Times New Roman" w:cs="Times New Roman"/>
          <w:sz w:val="24"/>
          <w:szCs w:val="24"/>
        </w:rPr>
        <w:t xml:space="preserve"> сельском поселении, сопряжённых с выездом за пределы</w:t>
      </w:r>
      <w:r w:rsidR="00567001" w:rsidRPr="00DC44BE">
        <w:rPr>
          <w:rFonts w:ascii="Times New Roman" w:hAnsi="Times New Roman" w:cs="Times New Roman"/>
          <w:sz w:val="24"/>
          <w:szCs w:val="24"/>
        </w:rPr>
        <w:t xml:space="preserve"> Костромской области с целью представления интересов органов местного самоуправления </w:t>
      </w:r>
      <w:proofErr w:type="spellStart"/>
      <w:r w:rsidR="00567001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567001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поселения, по случаю профессиональных праздников, официальных посещений семинаров, презентаций, выступлений творческих коллективов, по поводу открытия социально значимых объектов, поздравления заслуженных людей, коллективов от имени органов местного самоуправления </w:t>
      </w:r>
      <w:proofErr w:type="spellStart"/>
      <w:r w:rsidR="00567001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567001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поселения, и других мероприятиях, проводимых в </w:t>
      </w:r>
      <w:proofErr w:type="spellStart"/>
      <w:r w:rsidR="00567001" w:rsidRPr="00DC44BE">
        <w:rPr>
          <w:rFonts w:ascii="Times New Roman" w:hAnsi="Times New Roman" w:cs="Times New Roman"/>
          <w:sz w:val="24"/>
          <w:szCs w:val="24"/>
        </w:rPr>
        <w:t>Завражном</w:t>
      </w:r>
      <w:proofErr w:type="spellEnd"/>
      <w:r w:rsidR="00567001" w:rsidRPr="00DC44BE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567001" w:rsidRPr="00DC44BE" w:rsidRDefault="00567001" w:rsidP="0002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Официальные лица – лица, являющиеся представителями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других организаций, учреждений, предприятий (включая иностранных), имеющие полномочия на участие в официальных мероприятиях и подписание официальных документов.</w:t>
      </w:r>
    </w:p>
    <w:p w:rsidR="00567001" w:rsidRPr="00DC44BE" w:rsidRDefault="00567001" w:rsidP="0002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Финансовое обеспечение расходных обязательств, связанных с реализацией настоящего Положения, осуществляется из бюджета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в</w:t>
      </w:r>
      <w:r w:rsidR="006C01BA" w:rsidRPr="00DC44BE">
        <w:rPr>
          <w:rFonts w:ascii="Times New Roman" w:hAnsi="Times New Roman" w:cs="Times New Roman"/>
          <w:sz w:val="24"/>
          <w:szCs w:val="24"/>
        </w:rPr>
        <w:t xml:space="preserve"> пределах лимитов бюджетных обязательств, предусмотренных на соответствующий год. Общий объём расходов на представительские расходы планируется ежегодно в бюджетной смете органа местного самоуправления </w:t>
      </w:r>
      <w:proofErr w:type="spellStart"/>
      <w:r w:rsidR="006C01BA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6C01BA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в размере, не превышающем четыре процента от расходов, предусмотренных бюджетной сметой на оплату труда.</w:t>
      </w:r>
    </w:p>
    <w:p w:rsidR="006C01BA" w:rsidRPr="00DC44BE" w:rsidRDefault="006C01BA" w:rsidP="0002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lastRenderedPageBreak/>
        <w:t>К представительским расходам относятся расходы на:</w:t>
      </w:r>
    </w:p>
    <w:p w:rsidR="00401D95" w:rsidRPr="00DC44BE" w:rsidRDefault="006C01BA" w:rsidP="006C01BA">
      <w:pPr>
        <w:ind w:left="360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- транспортное обеспечение</w:t>
      </w:r>
    </w:p>
    <w:p w:rsidR="006C01BA" w:rsidRPr="00DC44BE" w:rsidRDefault="006C01BA" w:rsidP="006C01BA">
      <w:pPr>
        <w:ind w:left="360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6C01BA" w:rsidRPr="00DC44BE" w:rsidRDefault="006C01BA" w:rsidP="006C01BA">
      <w:pPr>
        <w:ind w:left="360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- проведение официальных приёмов</w:t>
      </w:r>
    </w:p>
    <w:p w:rsidR="006C01BA" w:rsidRPr="00DC44BE" w:rsidRDefault="006C01BA" w:rsidP="006C01BA">
      <w:pPr>
        <w:ind w:left="360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- питание</w:t>
      </w:r>
    </w:p>
    <w:p w:rsidR="006C01BA" w:rsidRPr="00DC44BE" w:rsidRDefault="006C01BA" w:rsidP="006C01BA">
      <w:pPr>
        <w:ind w:left="360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- буфетное обслуживание во время переговоров</w:t>
      </w:r>
    </w:p>
    <w:p w:rsidR="006C01BA" w:rsidRPr="00DC44BE" w:rsidRDefault="006C01BA" w:rsidP="006C01BA">
      <w:pPr>
        <w:ind w:left="360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- буфетное обслуживание заседаний, депутатских слушаний, конференций, семинаров, «круглых столов», совещаний, проводимых органами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поселения, заседаний комитетов, приёмных руководителей органов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сльского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C01BA" w:rsidRPr="00DC44BE" w:rsidRDefault="006C01BA" w:rsidP="006C01BA">
      <w:pPr>
        <w:ind w:left="360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- бытовое обслуживание</w:t>
      </w:r>
    </w:p>
    <w:p w:rsidR="006C01BA" w:rsidRPr="00DC44BE" w:rsidRDefault="006C01BA" w:rsidP="006C01BA">
      <w:pPr>
        <w:ind w:left="360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- мероприятия культурной программы</w:t>
      </w:r>
    </w:p>
    <w:p w:rsidR="006C01BA" w:rsidRPr="00DC44BE" w:rsidRDefault="006C01BA" w:rsidP="006C01BA">
      <w:pPr>
        <w:ind w:left="360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- оплату услуг переводчиков</w:t>
      </w:r>
      <w:r w:rsidR="00D47876" w:rsidRPr="00DC44BE">
        <w:rPr>
          <w:rFonts w:ascii="Times New Roman" w:hAnsi="Times New Roman" w:cs="Times New Roman"/>
          <w:sz w:val="24"/>
          <w:szCs w:val="24"/>
        </w:rPr>
        <w:t xml:space="preserve">, не состоящих в штате органов местного самоуправления </w:t>
      </w:r>
      <w:proofErr w:type="spellStart"/>
      <w:r w:rsidR="00D47876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D47876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7876" w:rsidRPr="00DC44BE" w:rsidRDefault="00D47876" w:rsidP="006C01BA">
      <w:pPr>
        <w:ind w:left="360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- аренду помещений</w:t>
      </w:r>
    </w:p>
    <w:p w:rsidR="00D47876" w:rsidRPr="00DC44BE" w:rsidRDefault="00D47876" w:rsidP="006C01BA">
      <w:pPr>
        <w:ind w:left="360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- приобретение сувениров, памятных подарков, цветов</w:t>
      </w:r>
    </w:p>
    <w:p w:rsidR="00D47876" w:rsidRPr="00DC44BE" w:rsidRDefault="00D47876" w:rsidP="006C01BA">
      <w:pPr>
        <w:ind w:left="360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- канцелярские товары</w:t>
      </w:r>
    </w:p>
    <w:p w:rsidR="00D47876" w:rsidRPr="00DC44BE" w:rsidRDefault="00D47876" w:rsidP="006C01BA">
      <w:pPr>
        <w:ind w:left="360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К представительским расходам не относятся расходы на организацию развлечений, </w:t>
      </w:r>
      <w:proofErr w:type="gramStart"/>
      <w:r w:rsidRPr="00DC44BE">
        <w:rPr>
          <w:rFonts w:ascii="Times New Roman" w:hAnsi="Times New Roman" w:cs="Times New Roman"/>
          <w:sz w:val="24"/>
          <w:szCs w:val="24"/>
        </w:rPr>
        <w:t>отдыха,,</w:t>
      </w:r>
      <w:proofErr w:type="gramEnd"/>
      <w:r w:rsidRPr="00DC44BE">
        <w:rPr>
          <w:rFonts w:ascii="Times New Roman" w:hAnsi="Times New Roman" w:cs="Times New Roman"/>
          <w:sz w:val="24"/>
          <w:szCs w:val="24"/>
        </w:rPr>
        <w:t xml:space="preserve"> профилактики или лечения заболеваний.</w:t>
      </w:r>
    </w:p>
    <w:p w:rsidR="00D47876" w:rsidRPr="00DC44BE" w:rsidRDefault="00D47876" w:rsidP="00D478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Представительские расходы, связанные с приёмом официальных лиц и (или) обслуживанием представителей (делегаций и отдельных лиц) организаций, учреждений, предприятий (включая иностранных), определяются в соответствии со сметой представительских расходов на проведение мероприятия с учётом норм, установленных настоящим Положением, и утверждаются распоряжением руководителя органа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1). Отчёт о представительских расходах (приложение 2) представляется не позднее трёх рабочих дней после проведения мероприятия.</w:t>
      </w:r>
    </w:p>
    <w:p w:rsidR="00D47876" w:rsidRPr="00DC44BE" w:rsidRDefault="00D47876" w:rsidP="00D478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Представительские расходы, связанные с буфетным обслуживанием заседаний, депутатских слушаний, конференций, семинаров, «круглых столов», совещаний, проводимых органами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поселения, заседаний комитетов, приёмных руководителей</w:t>
      </w:r>
      <w:r w:rsidR="00907EAA" w:rsidRPr="00DC44B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proofErr w:type="spellStart"/>
      <w:r w:rsidR="00907EAA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907EAA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определяются в пределах норм представительских расходов, предусмотренных пунктом 9 настоящего Положения. Распоряжение руководителя органа местного самоуправления </w:t>
      </w:r>
      <w:proofErr w:type="spellStart"/>
      <w:r w:rsidR="00907EAA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907EAA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в данных случаях не требуется.</w:t>
      </w:r>
    </w:p>
    <w:p w:rsidR="00907EAA" w:rsidRPr="00DC44BE" w:rsidRDefault="00907EAA" w:rsidP="00D478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Представительские расходы, связанные с участием руководителей органов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в мероприятиях, проводимых в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Завражном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сельском поселении, сопряжённых с выездом за пределы Костромской области с целью представления интересов органов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поселения, по случаю профессиональных праздников, официальных посещений, семинаров, презентаций, выступлений</w:t>
      </w:r>
      <w:r w:rsidR="00C80449" w:rsidRPr="00DC44BE">
        <w:rPr>
          <w:rFonts w:ascii="Times New Roman" w:hAnsi="Times New Roman" w:cs="Times New Roman"/>
          <w:sz w:val="24"/>
          <w:szCs w:val="24"/>
        </w:rPr>
        <w:t xml:space="preserve"> </w:t>
      </w:r>
      <w:r w:rsidR="00C80449" w:rsidRPr="00DC44BE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творческих коллективов, по поводу открытия социально значимых объектов, поздравления заслуженных людей, коллективов от имени органов местного самоуправления </w:t>
      </w:r>
      <w:proofErr w:type="spellStart"/>
      <w:r w:rsidR="00C80449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C80449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поселения, и других мероприятиях, проводимых в </w:t>
      </w:r>
      <w:proofErr w:type="spellStart"/>
      <w:r w:rsidR="00C80449" w:rsidRPr="00DC44BE">
        <w:rPr>
          <w:rFonts w:ascii="Times New Roman" w:hAnsi="Times New Roman" w:cs="Times New Roman"/>
          <w:sz w:val="24"/>
          <w:szCs w:val="24"/>
        </w:rPr>
        <w:t>Завражном</w:t>
      </w:r>
      <w:proofErr w:type="spellEnd"/>
      <w:r w:rsidR="00C80449" w:rsidRPr="00DC44BE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7E1068" w:rsidRPr="00DC44BE">
        <w:rPr>
          <w:rFonts w:ascii="Times New Roman" w:hAnsi="Times New Roman" w:cs="Times New Roman"/>
          <w:sz w:val="24"/>
          <w:szCs w:val="24"/>
        </w:rPr>
        <w:t xml:space="preserve"> поселении, производится в соответствии с нормами, установленными настоящим Положением на основании официального приглашения на имя руководителя органа местного самоуправления </w:t>
      </w:r>
      <w:proofErr w:type="spellStart"/>
      <w:r w:rsidR="007E1068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7E1068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и его визы на участие в мероприятии. Распоряжение руководителя органа местного самоуправления </w:t>
      </w:r>
      <w:proofErr w:type="spellStart"/>
      <w:r w:rsidR="007E1068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7E1068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в данных случаях не оформляется.</w:t>
      </w:r>
    </w:p>
    <w:p w:rsidR="007E1068" w:rsidRPr="00DC44BE" w:rsidRDefault="007E1068" w:rsidP="00D478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Нормы представительских расходов устанавливаются в следующих размерах:</w:t>
      </w:r>
    </w:p>
    <w:p w:rsidR="007E1068" w:rsidRPr="00DC44BE" w:rsidRDefault="007E106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Транспортное обеспечение – по фактическим расходам, но не более стоимости двухкомнатного номера – для руководителей делегаций, стоимости одноместного номера – для членов делегаций и сопровождающих лиц. Расходы, связанные с бронированием мест в гостиницах, предусматриваются в размере 5 % стоимости места за сутки;</w:t>
      </w:r>
    </w:p>
    <w:p w:rsidR="007E1068" w:rsidRPr="00DC44BE" w:rsidRDefault="007E106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официальный приём от руководителя органа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поселения (на одного участника) – до </w:t>
      </w:r>
      <w:r w:rsidR="00EB540C" w:rsidRPr="00DC44BE">
        <w:rPr>
          <w:rFonts w:ascii="Times New Roman" w:hAnsi="Times New Roman" w:cs="Times New Roman"/>
          <w:sz w:val="24"/>
          <w:szCs w:val="24"/>
        </w:rPr>
        <w:t xml:space="preserve">50 рублей. Количество участников со стороны органов местного самоуправления </w:t>
      </w:r>
      <w:proofErr w:type="spellStart"/>
      <w:r w:rsidR="00EB540C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EB540C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не должно превышать количества участников делегации;</w:t>
      </w:r>
    </w:p>
    <w:p w:rsidR="00EB540C" w:rsidRPr="00DC44BE" w:rsidRDefault="00EB540C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оплата питания (на 1 человека в сутки) – до 150 рублей;</w:t>
      </w:r>
    </w:p>
    <w:p w:rsidR="00EB540C" w:rsidRPr="00DC44BE" w:rsidRDefault="00EB540C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буфетное обслуживание во время ведения переговоров – до 50 рублей в день на одного участника мероприятия (включая переводчика и сопровождающих лиц);</w:t>
      </w:r>
    </w:p>
    <w:p w:rsidR="00EB540C" w:rsidRPr="00DC44BE" w:rsidRDefault="00EB540C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буфетное обслуживание:</w:t>
      </w:r>
    </w:p>
    <w:p w:rsidR="00EB540C" w:rsidRPr="00DC44BE" w:rsidRDefault="00EB540C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заседаний – до 30 рублей на 1 заседание;</w:t>
      </w:r>
    </w:p>
    <w:p w:rsidR="00EB540C" w:rsidRPr="00DC44BE" w:rsidRDefault="00EB540C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депутатских слушаний, конференций, семинаров, «круглых столов», совещаний, проводимых органами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– до 300 рублей на 1 мероприятие;</w:t>
      </w:r>
    </w:p>
    <w:p w:rsidR="00EB540C" w:rsidRPr="00DC44BE" w:rsidRDefault="00EB540C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заседаний комитетов Совета депутатов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– до 250 рублей в месяц;</w:t>
      </w:r>
    </w:p>
    <w:p w:rsidR="00EB540C" w:rsidRPr="00DC44BE" w:rsidRDefault="00EB540C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приёмной руководителя органа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– до 300 рублей в месяц;</w:t>
      </w:r>
    </w:p>
    <w:p w:rsidR="00EB540C" w:rsidRPr="00DC44BE" w:rsidRDefault="00EB540C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бытовое обслуживание (на 1 человека в сутки) – до 50 рублей;</w:t>
      </w:r>
    </w:p>
    <w:p w:rsidR="00FD352B" w:rsidRPr="00DC44BE" w:rsidRDefault="00FD352B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мероприятия культурной программы (на 1 человека в сутки, включая переводчика и сопровождающих лиц) – до 100 рублей;</w:t>
      </w:r>
    </w:p>
    <w:p w:rsidR="00FD352B" w:rsidRPr="00DC44BE" w:rsidRDefault="00FD352B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оплата услуг переводчиков, не состоящих в штате органа местного самоуправления – до 200 рублей в час;</w:t>
      </w:r>
    </w:p>
    <w:p w:rsidR="00FD352B" w:rsidRPr="00DC44BE" w:rsidRDefault="00FD352B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аренда помещений – по фактическим расходам;</w:t>
      </w:r>
    </w:p>
    <w:p w:rsidR="00FD352B" w:rsidRPr="00DC44BE" w:rsidRDefault="00FD352B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приобретение сувениров, памятных подарков, связанных с приёмом официальных лиц и делегаций:</w:t>
      </w:r>
    </w:p>
    <w:p w:rsidR="00FD352B" w:rsidRPr="00DC44BE" w:rsidRDefault="00FD352B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для руководителя делегации – до 100 рублей;</w:t>
      </w:r>
    </w:p>
    <w:p w:rsidR="00FD352B" w:rsidRPr="00DC44BE" w:rsidRDefault="00FD352B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для членов делегаций (на 1 человека) – до 50 рублей;</w:t>
      </w:r>
    </w:p>
    <w:p w:rsidR="00FD352B" w:rsidRPr="00DC44BE" w:rsidRDefault="00FD352B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приобретение сувениров, памятных подарков в случаях командировок, сопряжённых с выездом за пределы Костромской области – до 100 рублей;</w:t>
      </w:r>
    </w:p>
    <w:p w:rsidR="00FD352B" w:rsidRPr="00DC44BE" w:rsidRDefault="00FD352B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приобретение сувениров, памятных подарков, цветов для участия в мероприятиях, проводимых в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Завражном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сельском поселении, по случаю профессиональных праздников, официальных посещений семинаров, презентаций, выступлений творческих коллективов, по поводу </w:t>
      </w:r>
      <w:r w:rsidR="00732848" w:rsidRPr="00DC44BE">
        <w:rPr>
          <w:rFonts w:ascii="Times New Roman" w:hAnsi="Times New Roman" w:cs="Times New Roman"/>
          <w:sz w:val="24"/>
          <w:szCs w:val="24"/>
        </w:rPr>
        <w:t xml:space="preserve">открытия социально значимых объектов, поздравления заслуженных людей, коллективов от имени органов местного </w:t>
      </w:r>
      <w:r w:rsidR="00732848" w:rsidRPr="00DC44BE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proofErr w:type="spellStart"/>
      <w:r w:rsidR="00732848"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732848"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поселения, и других мероприятиях, проводимых в </w:t>
      </w:r>
      <w:proofErr w:type="spellStart"/>
      <w:r w:rsidR="00732848" w:rsidRPr="00DC44BE">
        <w:rPr>
          <w:rFonts w:ascii="Times New Roman" w:hAnsi="Times New Roman" w:cs="Times New Roman"/>
          <w:sz w:val="24"/>
          <w:szCs w:val="24"/>
        </w:rPr>
        <w:t>Завражном</w:t>
      </w:r>
      <w:proofErr w:type="spellEnd"/>
      <w:r w:rsidR="00732848" w:rsidRPr="00DC44BE">
        <w:rPr>
          <w:rFonts w:ascii="Times New Roman" w:hAnsi="Times New Roman" w:cs="Times New Roman"/>
          <w:sz w:val="24"/>
          <w:szCs w:val="24"/>
        </w:rPr>
        <w:t xml:space="preserve"> сельском поселении, - до 100 рублей;</w:t>
      </w: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канцелярские товары (ручки, карандаши, бумага, блокноты, файлы, папки с нанесением логотипов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поселения) – по фактическим расходам.</w:t>
      </w: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К Положению о представительских расходах,</w:t>
      </w: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Осуществляемых органами местного самоуправления</w:t>
      </w: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СМЕТА</w:t>
      </w: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представительских расходов на проведение мероприятия</w:t>
      </w: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Дата проведения</w:t>
      </w: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Цель проведения:</w:t>
      </w: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Приглашённые официальные лица в количестве                                  человек</w:t>
      </w: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Официальные участники со стороны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 в количестве – человек</w:t>
      </w:r>
    </w:p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Источник финансирования: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199"/>
        <w:gridCol w:w="2875"/>
      </w:tblGrid>
      <w:tr w:rsidR="00732848" w:rsidRPr="00DC44BE" w:rsidTr="00732848">
        <w:tc>
          <w:tcPr>
            <w:tcW w:w="551" w:type="dxa"/>
          </w:tcPr>
          <w:p w:rsidR="00732848" w:rsidRPr="00DC44BE" w:rsidRDefault="00732848" w:rsidP="007E10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9" w:type="dxa"/>
          </w:tcPr>
          <w:p w:rsidR="00732848" w:rsidRPr="00DC44BE" w:rsidRDefault="00732848" w:rsidP="007E10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BE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представительских расходов (состав расходов)</w:t>
            </w:r>
          </w:p>
        </w:tc>
        <w:tc>
          <w:tcPr>
            <w:tcW w:w="2875" w:type="dxa"/>
          </w:tcPr>
          <w:p w:rsidR="00732848" w:rsidRPr="00DC44BE" w:rsidRDefault="00732848" w:rsidP="007E10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BE">
              <w:rPr>
                <w:rFonts w:ascii="Times New Roman" w:hAnsi="Times New Roman" w:cs="Times New Roman"/>
                <w:sz w:val="24"/>
                <w:szCs w:val="24"/>
              </w:rPr>
              <w:t>Суммы представительских расходов (</w:t>
            </w:r>
            <w:proofErr w:type="spellStart"/>
            <w:r w:rsidRPr="00DC44B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C4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2848" w:rsidRPr="00DC44BE" w:rsidTr="00732848">
        <w:tc>
          <w:tcPr>
            <w:tcW w:w="551" w:type="dxa"/>
          </w:tcPr>
          <w:p w:rsidR="00732848" w:rsidRPr="00DC44BE" w:rsidRDefault="00732848" w:rsidP="007E10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732848" w:rsidRPr="00DC44BE" w:rsidRDefault="00732848" w:rsidP="007E10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32848" w:rsidRPr="00DC44BE" w:rsidRDefault="00732848" w:rsidP="007E10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48" w:rsidRPr="00DC44BE" w:rsidTr="00732848">
        <w:tc>
          <w:tcPr>
            <w:tcW w:w="551" w:type="dxa"/>
          </w:tcPr>
          <w:p w:rsidR="00732848" w:rsidRPr="00DC44BE" w:rsidRDefault="00732848" w:rsidP="007E10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732848" w:rsidRPr="00DC44BE" w:rsidRDefault="00732848" w:rsidP="007E10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B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75" w:type="dxa"/>
          </w:tcPr>
          <w:p w:rsidR="00732848" w:rsidRPr="00DC44BE" w:rsidRDefault="00732848" w:rsidP="007E10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848" w:rsidRPr="00DC44BE" w:rsidRDefault="00732848" w:rsidP="007E1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40C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Примерный расчёт по каждому пункту.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Смету составил: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DC44BE">
        <w:rPr>
          <w:rFonts w:ascii="Times New Roman" w:hAnsi="Times New Roman" w:cs="Times New Roman"/>
          <w:sz w:val="24"/>
          <w:szCs w:val="24"/>
        </w:rPr>
        <w:t xml:space="preserve">должности)   </w:t>
      </w:r>
      <w:proofErr w:type="gramEnd"/>
      <w:r w:rsidRPr="00DC44BE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(расшифровка подписи)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 к Положению о представительских расходах,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осуществляемых органами местного самоуправления </w:t>
      </w:r>
      <w:proofErr w:type="spellStart"/>
      <w:r w:rsidRPr="00DC44BE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DC44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Отчёт № от </w:t>
      </w:r>
      <w:proofErr w:type="gramStart"/>
      <w:r w:rsidRPr="00DC44BE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DC44BE">
        <w:rPr>
          <w:rFonts w:ascii="Times New Roman" w:hAnsi="Times New Roman" w:cs="Times New Roman"/>
          <w:sz w:val="24"/>
          <w:szCs w:val="24"/>
        </w:rPr>
        <w:t xml:space="preserve">   » __________20    г.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О произведённых представительских расходах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В целях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в органе местного самоуправления проведено_______________________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Количество участников: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от органов местного самоуправления – чел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от приглашённой стороны – чел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Общая тематика проведённых переговоров_________________________    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lastRenderedPageBreak/>
        <w:t>Местом проведения переговоров явилось_____________________________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Представительские расходы составили __________________________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>Подтверждающие документы прилагаются.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Источник </w:t>
      </w:r>
      <w:proofErr w:type="gramStart"/>
      <w:r w:rsidRPr="00DC44BE">
        <w:rPr>
          <w:rFonts w:ascii="Times New Roman" w:hAnsi="Times New Roman" w:cs="Times New Roman"/>
          <w:sz w:val="24"/>
          <w:szCs w:val="24"/>
        </w:rPr>
        <w:t>финансирования:_</w:t>
      </w:r>
      <w:proofErr w:type="gramEnd"/>
      <w:r w:rsidRPr="00DC44B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3BA8" w:rsidRPr="00DC44BE" w:rsidRDefault="00BF3BA8" w:rsidP="007E1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4BE">
        <w:rPr>
          <w:rFonts w:ascii="Times New Roman" w:hAnsi="Times New Roman" w:cs="Times New Roman"/>
          <w:sz w:val="24"/>
          <w:szCs w:val="24"/>
        </w:rPr>
        <w:t xml:space="preserve">Отчёт </w:t>
      </w:r>
      <w:proofErr w:type="gramStart"/>
      <w:r w:rsidRPr="00DC44BE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DC44B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BF3BA8" w:rsidRPr="00DC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276D"/>
    <w:multiLevelType w:val="hybridMultilevel"/>
    <w:tmpl w:val="E826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F4755"/>
    <w:multiLevelType w:val="hybridMultilevel"/>
    <w:tmpl w:val="DCB4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95"/>
    <w:rsid w:val="00024785"/>
    <w:rsid w:val="0023305E"/>
    <w:rsid w:val="002523DF"/>
    <w:rsid w:val="002F5E0D"/>
    <w:rsid w:val="00401D95"/>
    <w:rsid w:val="004E3D3A"/>
    <w:rsid w:val="00567001"/>
    <w:rsid w:val="006C01BA"/>
    <w:rsid w:val="00732848"/>
    <w:rsid w:val="00772172"/>
    <w:rsid w:val="007E1068"/>
    <w:rsid w:val="00907EAA"/>
    <w:rsid w:val="00BF3BA8"/>
    <w:rsid w:val="00C80449"/>
    <w:rsid w:val="00D47876"/>
    <w:rsid w:val="00DC44BE"/>
    <w:rsid w:val="00EB540C"/>
    <w:rsid w:val="00F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754B"/>
  <w15:chartTrackingRefBased/>
  <w15:docId w15:val="{41E3AA8D-7ADE-47E7-B89B-1AE5DCB5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3A"/>
    <w:pPr>
      <w:ind w:left="720"/>
      <w:contextualSpacing/>
    </w:pPr>
  </w:style>
  <w:style w:type="table" w:styleId="a4">
    <w:name w:val="Table Grid"/>
    <w:basedOn w:val="a1"/>
    <w:uiPriority w:val="39"/>
    <w:rsid w:val="0073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2023-06-22T04:56:00Z</dcterms:created>
  <dcterms:modified xsi:type="dcterms:W3CDTF">2023-06-23T06:50:00Z</dcterms:modified>
</cp:coreProperties>
</file>